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El Que </w:t>
      </w:r>
    </w:p>
    <w:p w:rsidR="00000000" w:rsidDel="00000000" w:rsidP="00000000" w:rsidRDefault="00000000" w:rsidRPr="00000000" w14:paraId="00000002">
      <w:pPr>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AVISO DE PRIVACIDAD SIMPLIFICADO PARA CONTRATOS DE ADJUDICACIÓN DEL SUBPROGRAMA FOMENTO AL AUTOEMPLEO.</w:t>
      </w:r>
    </w:p>
    <w:p w:rsidR="00000000" w:rsidDel="00000000" w:rsidP="00000000" w:rsidRDefault="00000000" w:rsidRPr="00000000" w14:paraId="0000000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Aviso de Privacidad</w:t>
      </w:r>
      <w:r w:rsidDel="00000000" w:rsidR="00000000" w:rsidRPr="00000000">
        <w:rPr>
          <w:rFonts w:ascii="Montserrat" w:cs="Montserrat" w:eastAsia="Montserrat" w:hAnsi="Montserrat"/>
          <w:rtl w:val="0"/>
        </w:rPr>
        <w:t xml:space="preserve">: La Secretaría del Trabajo y Previsión Social del Estado de Quintana Roo, es el responsable del tratamiento de los datos que se obtengan a través de los Contratos de Adjudicación del Subprograma Fomento al Autoempleo.</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elaborar el contrato de adjudicación del subprograma fomento al autoempleo, para el surtimiento de maquinaria y equipo requerido de conformidad con lo dispuesto en la Ley de adquisiciones, arrendamientos y servicios del sector público y la Ley adquisiciones, arrendamientos y prestación de servicios relacionados con bienes muebles del Estado de Quintana Roo.</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rPr>
        <mc:AlternateContent>
          <mc:Choice Requires="wpg">
            <w:drawing>
              <wp:inline distB="114300" distT="114300" distL="114300" distR="114300">
                <wp:extent cx="542925" cy="930148"/>
                <wp:effectExtent b="0" l="0" r="0" t="0"/>
                <wp:docPr id="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585788</wp:posOffset>
                </wp:positionH>
                <wp:positionV relativeFrom="paragraph">
                  <wp:posOffset>252413</wp:posOffset>
                </wp:positionV>
                <wp:extent cx="4933950" cy="821055"/>
                <wp:effectExtent b="0" l="0" r="0" t="0"/>
                <wp:wrapNone/>
                <wp:docPr id="9"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585788</wp:posOffset>
                </wp:positionH>
                <wp:positionV relativeFrom="paragraph">
                  <wp:posOffset>252413</wp:posOffset>
                </wp:positionV>
                <wp:extent cx="4933950" cy="821055"/>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tl w:val="0"/>
        </w:rPr>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4290695</wp:posOffset>
          </wp:positionH>
          <wp:positionV relativeFrom="paragraph">
            <wp:posOffset>-407655</wp:posOffset>
          </wp:positionV>
          <wp:extent cx="1541509" cy="86677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11"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Cuadrculamedia21" w:customStyle="1">
    <w:name w:val="Cuadrícula media 21"/>
    <w:uiPriority w:val="1"/>
    <w:qFormat w:val="1"/>
    <w:rsid w:val="00E5676C"/>
    <w:pPr>
      <w:spacing w:after="0" w:line="240" w:lineRule="auto"/>
    </w:pPr>
    <w:rPr>
      <w:rFonts w:ascii="Calibri" w:cs="Times New Roman" w:eastAsia="Calibri" w:hAnsi="Calibri"/>
    </w:rPr>
  </w:style>
  <w:style w:type="character" w:styleId="Hipervnculo">
    <w:name w:val="Hyperlink"/>
    <w:basedOn w:val="Fuentedeprrafopredeter"/>
    <w:uiPriority w:val="99"/>
    <w:unhideWhenUsed w:val="1"/>
    <w:rsid w:val="006156AC"/>
    <w:rPr>
      <w:color w:val="0563c1" w:themeColor="hyperlink"/>
      <w:u w:val="single"/>
    </w:rPr>
  </w:style>
  <w:style w:type="character" w:styleId="UnresolvedMention" w:customStyle="1">
    <w:name w:val="Unresolved Mention"/>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Prrafodelista">
    <w:name w:val="List Paragraph"/>
    <w:basedOn w:val="Normal"/>
    <w:uiPriority w:val="34"/>
    <w:qFormat w:val="1"/>
    <w:rsid w:val="00370111"/>
    <w:pPr>
      <w:ind w:left="720"/>
      <w:contextualSpacing w:val="1"/>
    </w:pPr>
  </w:style>
  <w:style w:type="paragraph" w:styleId="Textodeglobo">
    <w:name w:val="Balloon Text"/>
    <w:basedOn w:val="Normal"/>
    <w:link w:val="TextodegloboCar"/>
    <w:uiPriority w:val="99"/>
    <w:semiHidden w:val="1"/>
    <w:unhideWhenUsed w:val="1"/>
    <w:rsid w:val="00824AE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24AE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VrTFQ9JdOzQSwN4rtbxWNxGQ==">CgMxLjAyCGguZ2pkZ3hzOAByITFIeHRUVWh5NFd6OG1jRkZwUWRtZDZhY0tLcGVpcTBicg==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2022-10-17T06:10:00Z</dcterms:created>
  <dc:creator>Jonathan Santos Solano</dc:creator>
</cp:coreProperties>
</file>