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DEL EXPEDIENTE ÚNICO DE PERSONAL DE LA SECRETARÍA DEL TRABAJO Y PREVISIÓN SOCIAL DEL ESTADO DE QUINTANA ROO.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Aviso de Privacidad:</w:t>
      </w:r>
      <w:r w:rsidDel="00000000" w:rsidR="00000000" w:rsidRPr="00000000">
        <w:rPr>
          <w:rFonts w:ascii="Montserrat" w:cs="Montserrat" w:eastAsia="Montserrat" w:hAnsi="Montserrat"/>
          <w:rtl w:val="0"/>
        </w:rPr>
        <w:t xml:space="preserve"> La Secretaría del Trabajo y Previsión Social del Estado de Quintana Roo, es la responsable del tratamiento de los datos personales que se obtengan con el objeto de integrar el expediente único de personal de los servidores públicos adscritos a este Sujeto Obligado.</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obran en los expedientes de personal que se ubican en el archivo del Departamento de Recursos Humanos adscrito a la Dirección Administrativa, cuya finalidad tiene por objeto integrar el expediente único de personal, a fin de realizar los trámites administrativos y fiscales; así como el cumplimiento de las obligaciones de transparencia comunes que marca la Ley de Transparencia y Acceso a la Información Pública para el Estado de Quintana Roo, en su artículo 91, fracciones VIII, X, XI y XII, y que serán considerados para su publicación a través de la Plataforma Nacional de Transparencia.</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73"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47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731838</wp:posOffset>
                </wp:positionH>
                <wp:positionV relativeFrom="paragraph">
                  <wp:posOffset>236538</wp:posOffset>
                </wp:positionV>
                <wp:extent cx="4933950" cy="821055"/>
                <wp:effectExtent b="0" l="0" r="0" t="0"/>
                <wp:wrapNone/>
                <wp:docPr id="474"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731838</wp:posOffset>
                </wp:positionH>
                <wp:positionV relativeFrom="paragraph">
                  <wp:posOffset>236538</wp:posOffset>
                </wp:positionV>
                <wp:extent cx="4933950" cy="821055"/>
                <wp:effectExtent b="0" l="0" r="0" t="0"/>
                <wp:wrapNone/>
                <wp:docPr id="47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aquéllas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o bien, de manera presencial, en el domicilio conocido.</w:t>
      </w:r>
      <w:r w:rsidDel="00000000" w:rsidR="00000000" w:rsidRPr="00000000">
        <w:rPr>
          <w:rtl w:val="0"/>
        </w:rPr>
      </w:r>
    </w:p>
    <w:p w:rsidR="00000000" w:rsidDel="00000000" w:rsidP="00000000" w:rsidRDefault="00000000" w:rsidRPr="00000000" w14:paraId="0000000B">
      <w:pPr>
        <w:jc w:val="left"/>
        <w:rPr>
          <w:rFonts w:ascii="Montserrat" w:cs="Montserrat" w:eastAsia="Montserrat" w:hAnsi="Montserrat"/>
          <w:sz w:val="16"/>
          <w:szCs w:val="16"/>
        </w:rPr>
      </w:pP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4385945</wp:posOffset>
          </wp:positionH>
          <wp:positionV relativeFrom="paragraph">
            <wp:posOffset>-80846</wp:posOffset>
          </wp:positionV>
          <wp:extent cx="1541509" cy="866775"/>
          <wp:effectExtent b="0" l="0" r="0" t="0"/>
          <wp:wrapNone/>
          <wp:docPr id="47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7"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K+evDX/xf8F8ry2J0EdO583nw==">CgMxLjAyCGguZ2pkZ3hzOAByITFlU0NvQ19IeEdfVDA4NnBWY3dCREhDbk5HUTJoM0RNNg==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2022-10-17T05:02:00Z</dcterms:created>
  <dc:creator>Angel Octavio Canul Cruz</dc:creator>
</cp:coreProperties>
</file>