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7847" w:rsidRDefault="00E51A3C">
      <w:pPr>
        <w:spacing w:after="340"/>
        <w:jc w:val="center"/>
        <w:rPr>
          <w:rFonts w:ascii="Montserrat" w:eastAsia="Montserrat" w:hAnsi="Montserrat" w:cs="Montserrat"/>
        </w:rPr>
      </w:pPr>
      <w:bookmarkStart w:id="0" w:name="_heading=h.gjdgxs" w:colFirst="0" w:colLast="0"/>
      <w:bookmarkEnd w:id="0"/>
      <w:r>
        <w:rPr>
          <w:rFonts w:ascii="Montserrat" w:eastAsia="Montserrat" w:hAnsi="Montserrat" w:cs="Montserrat"/>
          <w:b/>
          <w:bCs/>
        </w:rPr>
        <w:t>AVISO DE PRIVACIDAD INTEGRAL DE LA PROCURADURÍA DE LA DEFENSA DEL TRABAJO Y SUS AUXILIARES EN EL ESTADO DE QUINTANA ROO</w:t>
      </w:r>
    </w:p>
    <w:p w:rsidR="00B87847" w:rsidRDefault="00E51A3C">
      <w:pPr>
        <w:spacing w:after="537"/>
        <w:ind w:left="100"/>
        <w:jc w:val="both"/>
        <w:rPr>
          <w:rFonts w:ascii="Montserrat" w:eastAsia="Montserrat" w:hAnsi="Montserrat" w:cs="Montserrat"/>
        </w:rPr>
      </w:pPr>
      <w:r>
        <w:rPr>
          <w:rFonts w:ascii="Montserrat" w:eastAsia="Montserrat" w:hAnsi="Montserrat" w:cs="Montserrat"/>
        </w:rPr>
        <w:t>En cumplimiento a Ley General de Protección de Datos Personales en Posesión de Sujetos Obligados y la Ley de Protección de Datos Personales en Posesión de Sujetos Obligados para el Estado de Quintana Roo, la Procuraduría de la Defensa del Trabajo del Estad</w:t>
      </w:r>
      <w:r>
        <w:rPr>
          <w:rFonts w:ascii="Montserrat" w:eastAsia="Montserrat" w:hAnsi="Montserrat" w:cs="Montserrat"/>
        </w:rPr>
        <w:t>o de Quintana Roo, en su calidad de Sujeto Obligado que recaba y ejerce tratamiento sobre datos personales, emite el siguiente:</w:t>
      </w:r>
    </w:p>
    <w:p w:rsidR="00B87847" w:rsidRDefault="00E51A3C">
      <w:pPr>
        <w:spacing w:after="537"/>
        <w:ind w:left="100"/>
        <w:jc w:val="center"/>
        <w:rPr>
          <w:rFonts w:ascii="Montserrat" w:eastAsia="Montserrat" w:hAnsi="Montserrat" w:cs="Montserrat"/>
        </w:rPr>
      </w:pPr>
      <w:r>
        <w:rPr>
          <w:rFonts w:ascii="Montserrat" w:eastAsia="Montserrat" w:hAnsi="Montserrat" w:cs="Montserrat"/>
          <w:b/>
          <w:bCs/>
        </w:rPr>
        <w:t>AVISO DE PRIVACIDAD</w:t>
      </w:r>
    </w:p>
    <w:p w:rsidR="00B87847" w:rsidRDefault="00E51A3C">
      <w:pPr>
        <w:spacing w:after="37"/>
        <w:ind w:left="100"/>
        <w:jc w:val="both"/>
        <w:rPr>
          <w:rFonts w:ascii="Montserrat" w:eastAsia="Montserrat" w:hAnsi="Montserrat" w:cs="Montserrat"/>
        </w:rPr>
      </w:pPr>
      <w:r>
        <w:rPr>
          <w:rFonts w:ascii="Montserrat" w:eastAsia="Montserrat" w:hAnsi="Montserrat" w:cs="Montserrat"/>
          <w:b/>
          <w:bCs/>
        </w:rPr>
        <w:t>LA PROCURADURÍA DE LA DEFENSA DEL TRABAJO DEL ESTADO DE QUINTANA ROO Y SUS</w:t>
      </w:r>
      <w:r>
        <w:rPr>
          <w:rFonts w:ascii="Montserrat" w:eastAsia="Montserrat" w:hAnsi="Montserrat" w:cs="Montserrat"/>
        </w:rPr>
        <w:t xml:space="preserve"> </w:t>
      </w:r>
      <w:r>
        <w:rPr>
          <w:rFonts w:ascii="Montserrat" w:eastAsia="Montserrat" w:hAnsi="Montserrat" w:cs="Montserrat"/>
          <w:b/>
          <w:bCs/>
        </w:rPr>
        <w:t>AUXILIARES EN EL ESTADO</w:t>
      </w:r>
      <w:r>
        <w:rPr>
          <w:rFonts w:ascii="Montserrat" w:eastAsia="Montserrat" w:hAnsi="Montserrat" w:cs="Montserrat"/>
        </w:rPr>
        <w:t>, con domi</w:t>
      </w:r>
      <w:r>
        <w:rPr>
          <w:rFonts w:ascii="Montserrat" w:eastAsia="Montserrat" w:hAnsi="Montserrat" w:cs="Montserrat"/>
        </w:rPr>
        <w:t xml:space="preserve">cilio la primera en calle Héroes de Chapultepec número 134, de la Colonia Centro de la ciudad de Chetumal Quintana Roo, código postal 77000 y las Procuradurías Auxiliares de la Defensa del Trabajo </w:t>
      </w:r>
      <w:r>
        <w:rPr>
          <w:rFonts w:ascii="Montserrat" w:eastAsia="Montserrat" w:hAnsi="Montserrat" w:cs="Montserrat"/>
          <w:color w:val="262626"/>
        </w:rPr>
        <w:t xml:space="preserve">con oficinas en: Plaza comercial </w:t>
      </w:r>
      <w:proofErr w:type="spellStart"/>
      <w:r>
        <w:rPr>
          <w:rFonts w:ascii="Montserrat" w:eastAsia="Montserrat" w:hAnsi="Montserrat" w:cs="Montserrat"/>
          <w:color w:val="262626"/>
        </w:rPr>
        <w:t>The</w:t>
      </w:r>
      <w:proofErr w:type="spellEnd"/>
      <w:r>
        <w:rPr>
          <w:rFonts w:ascii="Montserrat" w:eastAsia="Montserrat" w:hAnsi="Montserrat" w:cs="Montserrat"/>
          <w:color w:val="262626"/>
        </w:rPr>
        <w:t xml:space="preserve"> </w:t>
      </w:r>
      <w:proofErr w:type="spellStart"/>
      <w:r>
        <w:rPr>
          <w:rFonts w:ascii="Montserrat" w:eastAsia="Montserrat" w:hAnsi="Montserrat" w:cs="Montserrat"/>
          <w:color w:val="262626"/>
        </w:rPr>
        <w:t>Village</w:t>
      </w:r>
      <w:proofErr w:type="spellEnd"/>
      <w:r>
        <w:rPr>
          <w:rFonts w:ascii="Montserrat" w:eastAsia="Montserrat" w:hAnsi="Montserrat" w:cs="Montserrat"/>
          <w:color w:val="262626"/>
        </w:rPr>
        <w:t xml:space="preserve">, Avenida </w:t>
      </w:r>
      <w:proofErr w:type="spellStart"/>
      <w:r>
        <w:rPr>
          <w:rFonts w:ascii="Montserrat" w:eastAsia="Montserrat" w:hAnsi="Montserrat" w:cs="Montserrat"/>
          <w:color w:val="262626"/>
        </w:rPr>
        <w:t>Kabah</w:t>
      </w:r>
      <w:proofErr w:type="spellEnd"/>
      <w:r>
        <w:rPr>
          <w:rFonts w:ascii="Montserrat" w:eastAsia="Montserrat" w:hAnsi="Montserrat" w:cs="Montserrat"/>
          <w:color w:val="262626"/>
        </w:rPr>
        <w:t>,</w:t>
      </w:r>
      <w:r>
        <w:rPr>
          <w:rFonts w:ascii="Montserrat" w:eastAsia="Montserrat" w:hAnsi="Montserrat" w:cs="Montserrat"/>
        </w:rPr>
        <w:t xml:space="preserve"> </w:t>
      </w:r>
      <w:r>
        <w:rPr>
          <w:rFonts w:ascii="Montserrat" w:eastAsia="Montserrat" w:hAnsi="Montserrat" w:cs="Montserrat"/>
          <w:color w:val="262626"/>
        </w:rPr>
        <w:t xml:space="preserve">Sm-14A </w:t>
      </w:r>
      <w:proofErr w:type="spellStart"/>
      <w:r>
        <w:rPr>
          <w:rFonts w:ascii="Montserrat" w:eastAsia="Montserrat" w:hAnsi="Montserrat" w:cs="Montserrat"/>
          <w:color w:val="262626"/>
        </w:rPr>
        <w:t>Mza</w:t>
      </w:r>
      <w:proofErr w:type="spellEnd"/>
      <w:r>
        <w:rPr>
          <w:rFonts w:ascii="Montserrat" w:eastAsia="Montserrat" w:hAnsi="Montserrat" w:cs="Montserrat"/>
          <w:color w:val="262626"/>
        </w:rPr>
        <w:t>. 4, Lotes 2 y 3 locales del B-201 al B-214 planta alta, de la ciudad de Cancún, Quintana Roo; Avenida 10 con calle 2 Norte, esquina Plaza Garza Blanca (altos) Col. Centro C.P. 77600 de la ciudad de Cozumel, Quintana Roo,; Avenida 30 entre 36 y</w:t>
      </w:r>
      <w:r>
        <w:rPr>
          <w:rFonts w:ascii="Montserrat" w:eastAsia="Montserrat" w:hAnsi="Montserrat" w:cs="Montserrat"/>
          <w:color w:val="262626"/>
        </w:rPr>
        <w:t xml:space="preserve"> 36 bis, lotes 6, 7 y 8, Manzana 96 de la Col. Centro, de la ciudad de Playa del Carmen, </w:t>
      </w:r>
      <w:r>
        <w:rPr>
          <w:rFonts w:ascii="Montserrat" w:eastAsia="Montserrat" w:hAnsi="Montserrat" w:cs="Montserrat"/>
        </w:rPr>
        <w:t>estas son Unidades Administrativa dependientes de la Secretaría del Trabajo y Previsión Social del Estado de Quintana Roo, responsables del uso, tratamiento y protecci</w:t>
      </w:r>
      <w:r>
        <w:rPr>
          <w:rFonts w:ascii="Montserrat" w:eastAsia="Montserrat" w:hAnsi="Montserrat" w:cs="Montserrat"/>
        </w:rPr>
        <w:t xml:space="preserve">ón de sus datos personales, los que se recabaran para brindar el servicio de </w:t>
      </w:r>
      <w:r>
        <w:rPr>
          <w:rFonts w:ascii="Montserrat" w:eastAsia="Montserrat" w:hAnsi="Montserrat" w:cs="Montserrat"/>
          <w:b/>
          <w:bCs/>
        </w:rPr>
        <w:t>“Asesoría, Conciliación y Representación Legal”</w:t>
      </w:r>
      <w:r>
        <w:rPr>
          <w:rFonts w:ascii="Montserrat" w:eastAsia="Montserrat" w:hAnsi="Montserrat" w:cs="Montserrat"/>
        </w:rPr>
        <w:t xml:space="preserve"> al que se refiere el “Acuerdo General por el que se adiciona el similar en el que se establece la simplificación administrativa del</w:t>
      </w:r>
      <w:r>
        <w:rPr>
          <w:rFonts w:ascii="Montserrat" w:eastAsia="Montserrat" w:hAnsi="Montserrat" w:cs="Montserrat"/>
        </w:rPr>
        <w:t xml:space="preserve"> servicio denominado Asesoría, Conciliación y Representación Legal” , a través el uso de medios electrónicos de la Secretaría del Trabajo y Previsión Social del Estado de Quintana Roo, publicado el veintinueve de mayo de dos mil veinte, incorporando el ser</w:t>
      </w:r>
      <w:r>
        <w:rPr>
          <w:rFonts w:ascii="Montserrat" w:eastAsia="Montserrat" w:hAnsi="Montserrat" w:cs="Montserrat"/>
        </w:rPr>
        <w:t>vicio de conciliación por medios digitales a cargo de la Procuraduría de la Defensa del Trabajo y sus Auxiliares en el Estado”, publicado en el Periódico Oficial del Estado el quince de junio de dos mil veinte, en atención a al cumplimiento de las funcione</w:t>
      </w:r>
      <w:r>
        <w:rPr>
          <w:rFonts w:ascii="Montserrat" w:eastAsia="Montserrat" w:hAnsi="Montserrat" w:cs="Montserrat"/>
        </w:rPr>
        <w:t>s señaladas en los artículos 530 y 530 BIS de la Ley Federal del Trabajo y 23 del Reglamento Interior de la Secretaría del Trabajo y Previsión Social.</w:t>
      </w:r>
    </w:p>
    <w:p w:rsidR="00B87847" w:rsidRDefault="00B87847">
      <w:pPr>
        <w:spacing w:after="37"/>
        <w:ind w:left="100"/>
        <w:jc w:val="both"/>
        <w:rPr>
          <w:rFonts w:ascii="Montserrat" w:eastAsia="Montserrat" w:hAnsi="Montserrat" w:cs="Montserrat"/>
        </w:rPr>
      </w:pPr>
    </w:p>
    <w:p w:rsidR="00B87847" w:rsidRDefault="00E51A3C">
      <w:r>
        <w:rPr>
          <w:rFonts w:ascii="Century Gothic" w:eastAsia="Century Gothic" w:hAnsi="Century Gothic" w:cs="Century Gothic"/>
          <w:b/>
          <w:bCs/>
        </w:rPr>
        <w:t>¿Qué datos personales se recaban y para qué finalidad?</w:t>
      </w:r>
    </w:p>
    <w:p w:rsidR="00B87847" w:rsidRDefault="00E51A3C">
      <w:pPr>
        <w:ind w:left="100"/>
        <w:jc w:val="both"/>
        <w:rPr>
          <w:rFonts w:ascii="Montserrat" w:eastAsia="Montserrat" w:hAnsi="Montserrat" w:cs="Montserrat"/>
        </w:rPr>
      </w:pPr>
      <w:r>
        <w:rPr>
          <w:rFonts w:ascii="Montserrat" w:eastAsia="Montserrat" w:hAnsi="Montserrat" w:cs="Montserrat"/>
        </w:rPr>
        <w:t>Los datos personales recabados a través del proce</w:t>
      </w:r>
      <w:r>
        <w:rPr>
          <w:rFonts w:ascii="Montserrat" w:eastAsia="Montserrat" w:hAnsi="Montserrat" w:cs="Montserrat"/>
        </w:rPr>
        <w:t xml:space="preserve">dimiento de </w:t>
      </w:r>
      <w:r>
        <w:rPr>
          <w:rFonts w:ascii="Montserrat" w:eastAsia="Montserrat" w:hAnsi="Montserrat" w:cs="Montserrat"/>
          <w:b/>
          <w:bCs/>
        </w:rPr>
        <w:t>“Asesoría, conciliación y representación legal”</w:t>
      </w:r>
      <w:r>
        <w:rPr>
          <w:rFonts w:ascii="Montserrat" w:eastAsia="Montserrat" w:hAnsi="Montserrat" w:cs="Montserrat"/>
        </w:rPr>
        <w:t xml:space="preserve"> a través de </w:t>
      </w:r>
      <w:proofErr w:type="spellStart"/>
      <w:r>
        <w:rPr>
          <w:rFonts w:ascii="Montserrat" w:eastAsia="Montserrat" w:hAnsi="Montserrat" w:cs="Montserrat"/>
        </w:rPr>
        <w:t>videollamada</w:t>
      </w:r>
      <w:proofErr w:type="spellEnd"/>
      <w:r>
        <w:rPr>
          <w:rFonts w:ascii="Montserrat" w:eastAsia="Montserrat" w:hAnsi="Montserrat" w:cs="Montserrat"/>
        </w:rPr>
        <w:t xml:space="preserve"> y/o videoconferencia, serán utilizados para el registro, constancia y videograbación del procedimiento, de la personalidad con la que comparecen las partes a la </w:t>
      </w:r>
      <w:r>
        <w:rPr>
          <w:rFonts w:ascii="Montserrat" w:eastAsia="Montserrat" w:hAnsi="Montserrat" w:cs="Montserrat"/>
        </w:rPr>
        <w:lastRenderedPageBreak/>
        <w:t>“conciliac</w:t>
      </w:r>
      <w:r>
        <w:rPr>
          <w:rFonts w:ascii="Montserrat" w:eastAsia="Montserrat" w:hAnsi="Montserrat" w:cs="Montserrat"/>
        </w:rPr>
        <w:t>ión”, del acuerdo al que lleguen las partes comparecientes, para la redacción del convenio de conciliación acordado por las partes, para ser objeto de prueba en caso de ser necesario para las partes, para la elaboración de informes y estadísticas.</w:t>
      </w:r>
    </w:p>
    <w:p w:rsidR="00B87847" w:rsidRDefault="00E51A3C">
      <w:pPr>
        <w:ind w:left="100"/>
        <w:jc w:val="both"/>
        <w:rPr>
          <w:rFonts w:ascii="Montserrat" w:eastAsia="Montserrat" w:hAnsi="Montserrat" w:cs="Montserrat"/>
        </w:rPr>
      </w:pPr>
      <w:r>
        <w:rPr>
          <w:rFonts w:ascii="Montserrat" w:eastAsia="Montserrat" w:hAnsi="Montserrat" w:cs="Montserrat"/>
        </w:rPr>
        <w:t>Para las</w:t>
      </w:r>
      <w:r>
        <w:rPr>
          <w:rFonts w:ascii="Montserrat" w:eastAsia="Montserrat" w:hAnsi="Montserrat" w:cs="Montserrat"/>
        </w:rPr>
        <w:t xml:space="preserve"> finalidades antes señaladas se recabarán los siguientes datos personales:</w:t>
      </w:r>
    </w:p>
    <w:p w:rsidR="00B87847" w:rsidRDefault="00E51A3C">
      <w:pPr>
        <w:spacing w:after="79"/>
        <w:jc w:val="both"/>
        <w:rPr>
          <w:rFonts w:ascii="Montserrat" w:eastAsia="Montserrat" w:hAnsi="Montserrat" w:cs="Montserrat"/>
        </w:rPr>
      </w:pPr>
      <w:r>
        <w:rPr>
          <w:rFonts w:ascii="Montserrat" w:eastAsia="Montserrat" w:hAnsi="Montserrat" w:cs="Montserrat"/>
          <w:b/>
          <w:bCs/>
        </w:rPr>
        <w:t>Del Trabajador:</w:t>
      </w:r>
    </w:p>
    <w:p w:rsidR="00B87847" w:rsidRDefault="00E51A3C">
      <w:pPr>
        <w:numPr>
          <w:ilvl w:val="0"/>
          <w:numId w:val="1"/>
        </w:numPr>
        <w:ind w:hanging="360"/>
        <w:jc w:val="both"/>
        <w:rPr>
          <w:rFonts w:ascii="Montserrat" w:eastAsia="Montserrat" w:hAnsi="Montserrat" w:cs="Montserrat"/>
        </w:rPr>
      </w:pPr>
      <w:r>
        <w:rPr>
          <w:rFonts w:ascii="Montserrat" w:eastAsia="Montserrat" w:hAnsi="Montserrat" w:cs="Montserrat"/>
        </w:rPr>
        <w:t>Nombre.</w:t>
      </w:r>
    </w:p>
    <w:p w:rsidR="00B87847" w:rsidRDefault="00E51A3C">
      <w:pPr>
        <w:numPr>
          <w:ilvl w:val="0"/>
          <w:numId w:val="1"/>
        </w:numPr>
        <w:ind w:hanging="360"/>
        <w:jc w:val="both"/>
        <w:rPr>
          <w:rFonts w:ascii="Montserrat" w:eastAsia="Montserrat" w:hAnsi="Montserrat" w:cs="Montserrat"/>
        </w:rPr>
      </w:pPr>
      <w:r>
        <w:rPr>
          <w:rFonts w:ascii="Montserrat" w:eastAsia="Montserrat" w:hAnsi="Montserrat" w:cs="Montserrat"/>
        </w:rPr>
        <w:t>Teléfono.</w:t>
      </w:r>
    </w:p>
    <w:p w:rsidR="00B87847" w:rsidRDefault="00E51A3C">
      <w:pPr>
        <w:numPr>
          <w:ilvl w:val="0"/>
          <w:numId w:val="1"/>
        </w:numPr>
        <w:ind w:hanging="360"/>
        <w:jc w:val="both"/>
        <w:rPr>
          <w:rFonts w:ascii="Montserrat" w:eastAsia="Montserrat" w:hAnsi="Montserrat" w:cs="Montserrat"/>
        </w:rPr>
      </w:pPr>
      <w:r>
        <w:rPr>
          <w:rFonts w:ascii="Montserrat" w:eastAsia="Montserrat" w:hAnsi="Montserrat" w:cs="Montserrat"/>
        </w:rPr>
        <w:t>Dirección de correo electrónico.</w:t>
      </w:r>
    </w:p>
    <w:p w:rsidR="00B87847" w:rsidRDefault="00E51A3C">
      <w:pPr>
        <w:numPr>
          <w:ilvl w:val="0"/>
          <w:numId w:val="1"/>
        </w:numPr>
        <w:ind w:hanging="360"/>
        <w:jc w:val="both"/>
        <w:rPr>
          <w:rFonts w:ascii="Montserrat" w:eastAsia="Montserrat" w:hAnsi="Montserrat" w:cs="Montserrat"/>
        </w:rPr>
      </w:pPr>
      <w:r>
        <w:rPr>
          <w:rFonts w:ascii="Montserrat" w:eastAsia="Montserrat" w:hAnsi="Montserrat" w:cs="Montserrat"/>
        </w:rPr>
        <w:t>Edad.</w:t>
      </w:r>
    </w:p>
    <w:p w:rsidR="00B87847" w:rsidRDefault="00E51A3C">
      <w:pPr>
        <w:numPr>
          <w:ilvl w:val="0"/>
          <w:numId w:val="1"/>
        </w:numPr>
        <w:ind w:hanging="360"/>
        <w:jc w:val="both"/>
        <w:rPr>
          <w:rFonts w:ascii="Montserrat" w:eastAsia="Montserrat" w:hAnsi="Montserrat" w:cs="Montserrat"/>
        </w:rPr>
      </w:pPr>
      <w:r>
        <w:rPr>
          <w:rFonts w:ascii="Montserrat" w:eastAsia="Montserrat" w:hAnsi="Montserrat" w:cs="Montserrat"/>
        </w:rPr>
        <w:t>Sexo.</w:t>
      </w:r>
    </w:p>
    <w:p w:rsidR="00B87847" w:rsidRDefault="00E51A3C">
      <w:pPr>
        <w:numPr>
          <w:ilvl w:val="0"/>
          <w:numId w:val="1"/>
        </w:numPr>
        <w:ind w:hanging="360"/>
        <w:jc w:val="both"/>
        <w:rPr>
          <w:rFonts w:ascii="Montserrat" w:eastAsia="Montserrat" w:hAnsi="Montserrat" w:cs="Montserrat"/>
        </w:rPr>
      </w:pPr>
      <w:r>
        <w:rPr>
          <w:rFonts w:ascii="Montserrat" w:eastAsia="Montserrat" w:hAnsi="Montserrat" w:cs="Montserrat"/>
        </w:rPr>
        <w:t>Datos de Identificación oficial.</w:t>
      </w:r>
    </w:p>
    <w:p w:rsidR="00B87847" w:rsidRDefault="00E51A3C">
      <w:pPr>
        <w:numPr>
          <w:ilvl w:val="0"/>
          <w:numId w:val="1"/>
        </w:numPr>
        <w:spacing w:after="390"/>
        <w:ind w:hanging="360"/>
        <w:jc w:val="both"/>
        <w:rPr>
          <w:rFonts w:ascii="Montserrat" w:eastAsia="Montserrat" w:hAnsi="Montserrat" w:cs="Montserrat"/>
        </w:rPr>
      </w:pPr>
      <w:r>
        <w:rPr>
          <w:rFonts w:ascii="Montserrat" w:eastAsia="Montserrat" w:hAnsi="Montserrat" w:cs="Montserrat"/>
        </w:rPr>
        <w:t>Salario.</w:t>
      </w:r>
    </w:p>
    <w:p w:rsidR="00B87847" w:rsidRDefault="00E51A3C">
      <w:pPr>
        <w:spacing w:after="79"/>
        <w:ind w:left="-5"/>
        <w:jc w:val="both"/>
        <w:rPr>
          <w:rFonts w:ascii="Montserrat" w:eastAsia="Montserrat" w:hAnsi="Montserrat" w:cs="Montserrat"/>
        </w:rPr>
      </w:pPr>
      <w:r>
        <w:rPr>
          <w:rFonts w:ascii="Montserrat" w:eastAsia="Montserrat" w:hAnsi="Montserrat" w:cs="Montserrat"/>
          <w:b/>
          <w:bCs/>
        </w:rPr>
        <w:t>Del señalado como Patrón:</w:t>
      </w:r>
    </w:p>
    <w:p w:rsidR="00B87847" w:rsidRDefault="00E51A3C">
      <w:pPr>
        <w:numPr>
          <w:ilvl w:val="0"/>
          <w:numId w:val="1"/>
        </w:numPr>
        <w:ind w:hanging="360"/>
        <w:jc w:val="both"/>
        <w:rPr>
          <w:rFonts w:ascii="Montserrat" w:eastAsia="Montserrat" w:hAnsi="Montserrat" w:cs="Montserrat"/>
        </w:rPr>
      </w:pPr>
      <w:r>
        <w:rPr>
          <w:rFonts w:ascii="Montserrat" w:eastAsia="Montserrat" w:hAnsi="Montserrat" w:cs="Montserrat"/>
        </w:rPr>
        <w:t>Nombre o Razón Social.</w:t>
      </w:r>
    </w:p>
    <w:p w:rsidR="00B87847" w:rsidRDefault="00E51A3C">
      <w:pPr>
        <w:numPr>
          <w:ilvl w:val="0"/>
          <w:numId w:val="1"/>
        </w:numPr>
        <w:ind w:hanging="360"/>
        <w:jc w:val="both"/>
        <w:rPr>
          <w:rFonts w:ascii="Montserrat" w:eastAsia="Montserrat" w:hAnsi="Montserrat" w:cs="Montserrat"/>
        </w:rPr>
      </w:pPr>
      <w:r>
        <w:rPr>
          <w:rFonts w:ascii="Montserrat" w:eastAsia="Montserrat" w:hAnsi="Montserrat" w:cs="Montserrat"/>
        </w:rPr>
        <w:t>Domicilio, Domicilio fiscal.</w:t>
      </w:r>
    </w:p>
    <w:p w:rsidR="00B87847" w:rsidRDefault="00E51A3C">
      <w:pPr>
        <w:numPr>
          <w:ilvl w:val="0"/>
          <w:numId w:val="1"/>
        </w:numPr>
        <w:ind w:hanging="360"/>
        <w:jc w:val="both"/>
        <w:rPr>
          <w:rFonts w:ascii="Montserrat" w:eastAsia="Montserrat" w:hAnsi="Montserrat" w:cs="Montserrat"/>
        </w:rPr>
      </w:pPr>
      <w:r>
        <w:rPr>
          <w:rFonts w:ascii="Montserrat" w:eastAsia="Montserrat" w:hAnsi="Montserrat" w:cs="Montserrat"/>
        </w:rPr>
        <w:t>Registro Federal de Contribuyentes.</w:t>
      </w:r>
    </w:p>
    <w:p w:rsidR="00B87847" w:rsidRDefault="00E51A3C">
      <w:pPr>
        <w:numPr>
          <w:ilvl w:val="0"/>
          <w:numId w:val="1"/>
        </w:numPr>
        <w:ind w:hanging="360"/>
        <w:jc w:val="both"/>
        <w:rPr>
          <w:rFonts w:ascii="Montserrat" w:eastAsia="Montserrat" w:hAnsi="Montserrat" w:cs="Montserrat"/>
        </w:rPr>
      </w:pPr>
      <w:r>
        <w:rPr>
          <w:rFonts w:ascii="Montserrat" w:eastAsia="Montserrat" w:hAnsi="Montserrat" w:cs="Montserrat"/>
        </w:rPr>
        <w:t>Nombre del apoderado legal.</w:t>
      </w:r>
    </w:p>
    <w:p w:rsidR="00B87847" w:rsidRDefault="00E51A3C">
      <w:pPr>
        <w:numPr>
          <w:ilvl w:val="0"/>
          <w:numId w:val="1"/>
        </w:numPr>
        <w:ind w:hanging="360"/>
        <w:jc w:val="both"/>
        <w:rPr>
          <w:rFonts w:ascii="Montserrat" w:eastAsia="Montserrat" w:hAnsi="Montserrat" w:cs="Montserrat"/>
        </w:rPr>
      </w:pPr>
      <w:r>
        <w:rPr>
          <w:rFonts w:ascii="Montserrat" w:eastAsia="Montserrat" w:hAnsi="Montserrat" w:cs="Montserrat"/>
        </w:rPr>
        <w:t>Datos del documento que acredita la personalidad y/o INE, persona física.</w:t>
      </w:r>
    </w:p>
    <w:p w:rsidR="00B87847" w:rsidRDefault="00E51A3C">
      <w:pPr>
        <w:numPr>
          <w:ilvl w:val="0"/>
          <w:numId w:val="1"/>
        </w:numPr>
        <w:ind w:hanging="360"/>
        <w:jc w:val="both"/>
        <w:rPr>
          <w:rFonts w:ascii="Montserrat" w:eastAsia="Montserrat" w:hAnsi="Montserrat" w:cs="Montserrat"/>
        </w:rPr>
      </w:pPr>
      <w:r>
        <w:rPr>
          <w:rFonts w:ascii="Montserrat" w:eastAsia="Montserrat" w:hAnsi="Montserrat" w:cs="Montserrat"/>
        </w:rPr>
        <w:t>Dirección correo electrónico.</w:t>
      </w:r>
    </w:p>
    <w:p w:rsidR="00B87847" w:rsidRDefault="00E51A3C">
      <w:pPr>
        <w:numPr>
          <w:ilvl w:val="0"/>
          <w:numId w:val="1"/>
        </w:numPr>
        <w:spacing w:after="304"/>
        <w:ind w:hanging="360"/>
        <w:jc w:val="both"/>
        <w:rPr>
          <w:rFonts w:ascii="Montserrat" w:eastAsia="Montserrat" w:hAnsi="Montserrat" w:cs="Montserrat"/>
        </w:rPr>
      </w:pPr>
      <w:r>
        <w:rPr>
          <w:rFonts w:ascii="Montserrat" w:eastAsia="Montserrat" w:hAnsi="Montserrat" w:cs="Montserrat"/>
        </w:rPr>
        <w:t>Teléfono.</w:t>
      </w:r>
    </w:p>
    <w:p w:rsidR="00B87847" w:rsidRDefault="00E51A3C">
      <w:pPr>
        <w:spacing w:after="381"/>
        <w:ind w:left="100" w:right="164"/>
        <w:jc w:val="both"/>
        <w:rPr>
          <w:rFonts w:ascii="Montserrat" w:eastAsia="Montserrat" w:hAnsi="Montserrat" w:cs="Montserrat"/>
        </w:rPr>
      </w:pPr>
      <w:r>
        <w:rPr>
          <w:rFonts w:ascii="Montserrat" w:eastAsia="Montserrat" w:hAnsi="Montserrat" w:cs="Montserrat"/>
        </w:rPr>
        <w:t>Además de los Datos Personales mencionados anteri</w:t>
      </w:r>
      <w:r>
        <w:rPr>
          <w:rFonts w:ascii="Montserrat" w:eastAsia="Montserrat" w:hAnsi="Montserrat" w:cs="Montserrat"/>
        </w:rPr>
        <w:t>ormente, en el caso del trabajador, pudiera requerirse los siguientes Datos Personales considerados como Datos Sensibles: enfermedad, padecimiento o daño corporal, relacionado a accidentes o enfermedad en el trabajo. Este tipo de datos tendrán especial pro</w:t>
      </w:r>
      <w:r>
        <w:rPr>
          <w:rFonts w:ascii="Montserrat" w:eastAsia="Montserrat" w:hAnsi="Montserrat" w:cs="Montserrat"/>
        </w:rPr>
        <w:t>tección y su tratamiento tiene por objeto en su caso, la asesoría y defensa de sus derechos laborales, en apego a la Ley. El tratamiento de estos datos deberá ser autorizado de manera expresa en el momento en que sean obtenidos los mismos.</w:t>
      </w:r>
    </w:p>
    <w:p w:rsidR="00B87847" w:rsidRDefault="00E51A3C">
      <w:pPr>
        <w:spacing w:after="370"/>
        <w:ind w:left="100" w:right="167"/>
        <w:jc w:val="both"/>
        <w:rPr>
          <w:rFonts w:ascii="Montserrat" w:eastAsia="Montserrat" w:hAnsi="Montserrat" w:cs="Montserrat"/>
        </w:rPr>
      </w:pPr>
      <w:r>
        <w:rPr>
          <w:rFonts w:ascii="Montserrat" w:eastAsia="Montserrat" w:hAnsi="Montserrat" w:cs="Montserrat"/>
        </w:rPr>
        <w:t>Por lo anterior,</w:t>
      </w:r>
      <w:r>
        <w:rPr>
          <w:rFonts w:ascii="Montserrat" w:eastAsia="Montserrat" w:hAnsi="Montserrat" w:cs="Montserrat"/>
        </w:rPr>
        <w:t xml:space="preserve"> se informa que no se realizarán transferencias de datos personales adicionales, salvo aquéllas que sean necesarias para atender </w:t>
      </w:r>
      <w:r>
        <w:rPr>
          <w:rFonts w:ascii="Montserrat" w:eastAsia="Montserrat" w:hAnsi="Montserrat" w:cs="Montserrat"/>
        </w:rPr>
        <w:lastRenderedPageBreak/>
        <w:t>requerimientos de información de una autoridad competente, que estén debidamente fundados y motivados.</w:t>
      </w:r>
    </w:p>
    <w:p w:rsidR="00B87847" w:rsidRDefault="00E51A3C">
      <w:pPr>
        <w:spacing w:after="191"/>
        <w:ind w:left="-5"/>
        <w:jc w:val="both"/>
        <w:rPr>
          <w:rFonts w:ascii="Montserrat" w:eastAsia="Montserrat" w:hAnsi="Montserrat" w:cs="Montserrat"/>
        </w:rPr>
      </w:pPr>
      <w:r>
        <w:rPr>
          <w:rFonts w:ascii="Montserrat" w:eastAsia="Montserrat" w:hAnsi="Montserrat" w:cs="Montserrat"/>
          <w:b/>
          <w:bCs/>
        </w:rPr>
        <w:t>Fundamento para el trata</w:t>
      </w:r>
      <w:r>
        <w:rPr>
          <w:rFonts w:ascii="Montserrat" w:eastAsia="Montserrat" w:hAnsi="Montserrat" w:cs="Montserrat"/>
          <w:b/>
          <w:bCs/>
        </w:rPr>
        <w:t>miento de datos personales</w:t>
      </w:r>
      <w:r>
        <w:rPr>
          <w:rFonts w:ascii="Montserrat" w:eastAsia="Montserrat" w:hAnsi="Montserrat" w:cs="Montserrat"/>
        </w:rPr>
        <w:t>.</w:t>
      </w:r>
    </w:p>
    <w:p w:rsidR="00B87847" w:rsidRDefault="00E51A3C">
      <w:pPr>
        <w:spacing w:after="21"/>
        <w:ind w:left="100"/>
        <w:jc w:val="both"/>
        <w:rPr>
          <w:rFonts w:ascii="Montserrat" w:eastAsia="Montserrat" w:hAnsi="Montserrat" w:cs="Montserrat"/>
        </w:rPr>
      </w:pPr>
      <w:r>
        <w:rPr>
          <w:rFonts w:ascii="Montserrat" w:eastAsia="Montserrat" w:hAnsi="Montserrat" w:cs="Montserrat"/>
        </w:rPr>
        <w:t>La Secretaría del Trabajo y Previsión Social del Estado de Quintana Roo trata los datos personales antes señalados, con fundamento en la Ley General de Protección de Datos Personales en Posesión de Sujetos Obligados, la Ley Fede</w:t>
      </w:r>
      <w:r>
        <w:rPr>
          <w:rFonts w:ascii="Montserrat" w:eastAsia="Montserrat" w:hAnsi="Montserrat" w:cs="Montserrat"/>
        </w:rPr>
        <w:t>ral del Trabajo, la Ley de Protección de Datos Personales en Posesión de Sujetos Obligados para el Estado de Quintana Roo y su Reglamento Interior de Trabajo.</w:t>
      </w:r>
    </w:p>
    <w:p w:rsidR="00B87847" w:rsidRDefault="00B87847">
      <w:pPr>
        <w:spacing w:after="21"/>
        <w:ind w:left="100"/>
        <w:jc w:val="both"/>
        <w:rPr>
          <w:rFonts w:ascii="Montserrat" w:eastAsia="Montserrat" w:hAnsi="Montserrat" w:cs="Montserrat"/>
        </w:rPr>
      </w:pPr>
    </w:p>
    <w:p w:rsidR="00B87847" w:rsidRDefault="00E51A3C">
      <w:pPr>
        <w:spacing w:after="21"/>
        <w:ind w:left="100"/>
        <w:jc w:val="both"/>
        <w:rPr>
          <w:rFonts w:ascii="Montserrat" w:eastAsia="Montserrat" w:hAnsi="Montserrat" w:cs="Montserrat"/>
          <w:b/>
          <w:bCs/>
        </w:rPr>
      </w:pPr>
      <w:r>
        <w:rPr>
          <w:rFonts w:ascii="Montserrat" w:eastAsia="Montserrat" w:hAnsi="Montserrat" w:cs="Montserrat"/>
          <w:b/>
          <w:bCs/>
        </w:rPr>
        <w:t>¿Dónde se pueden ejercer los derechos de acceso, rectificación, cancelación, oposición y a la portabilidad de datos personales?</w:t>
      </w:r>
    </w:p>
    <w:p w:rsidR="00B87847" w:rsidRDefault="00B87847">
      <w:pPr>
        <w:spacing w:after="21"/>
        <w:ind w:left="100"/>
        <w:jc w:val="both"/>
        <w:rPr>
          <w:rFonts w:ascii="Montserrat" w:eastAsia="Montserrat" w:hAnsi="Montserrat" w:cs="Montserrat"/>
          <w:b/>
          <w:bCs/>
        </w:rPr>
      </w:pPr>
    </w:p>
    <w:p w:rsidR="00B87847" w:rsidRDefault="00E51A3C">
      <w:pPr>
        <w:spacing w:after="0" w:line="240" w:lineRule="auto"/>
        <w:ind w:right="49"/>
        <w:jc w:val="both"/>
        <w:rPr>
          <w:rFonts w:ascii="Montserrat" w:eastAsia="Montserrat" w:hAnsi="Montserrat" w:cs="Montserrat"/>
        </w:rPr>
      </w:pPr>
      <w:r>
        <w:rPr>
          <w:rFonts w:ascii="Montserrat" w:eastAsia="Montserrat" w:hAnsi="Montserrat" w:cs="Montserrat"/>
        </w:rPr>
        <w:t>El Titular de los Datos Personales, podrá ejercer sus derechos de Acceso, Rectificación, Cancelación, Oposición(ARCO) y a la Po</w:t>
      </w:r>
      <w:r>
        <w:rPr>
          <w:rFonts w:ascii="Montserrat" w:eastAsia="Montserrat" w:hAnsi="Montserrat" w:cs="Montserrat"/>
        </w:rPr>
        <w:t xml:space="preserve">rtabilidad , solicitando lo conducente ante la </w:t>
      </w:r>
      <w:r>
        <w:rPr>
          <w:rFonts w:ascii="Montserrat" w:eastAsia="Montserrat" w:hAnsi="Montserrat" w:cs="Montserrat"/>
          <w:b/>
          <w:bCs/>
        </w:rPr>
        <w:t>Unidad de Transparencia, Acceso a la Información Pública y Protección de Datos Personales de la Secretaría del Trabajo y Previsión Social del Estado de Quintana Roo</w:t>
      </w:r>
      <w:r>
        <w:rPr>
          <w:rFonts w:ascii="Montserrat" w:eastAsia="Montserrat" w:hAnsi="Montserrat" w:cs="Montserrat"/>
        </w:rPr>
        <w:t>, ubicada en Avenida Héroes de Chapultepec, n</w:t>
      </w:r>
      <w:r>
        <w:rPr>
          <w:rFonts w:ascii="Montserrat" w:eastAsia="Montserrat" w:hAnsi="Montserrat" w:cs="Montserrat"/>
        </w:rPr>
        <w:t>úmero 134, de la Colonia Centro, código postal 77000, de la Ciudad de Chetumal, Municipio de Othón P. Blanco, Quintana Roo. La solicitud de derechos ARCO, conforme a lo dispuesto en la Ley General de Protección de Datos Personales en Posesión de Sujetos Ob</w:t>
      </w:r>
      <w:r>
        <w:rPr>
          <w:rFonts w:ascii="Montserrat" w:eastAsia="Montserrat" w:hAnsi="Montserrat" w:cs="Montserrat"/>
        </w:rPr>
        <w:t xml:space="preserve">ligados y la Ley de Protección de Datos Personales en Posesión de Sujetos Obligados para el Estado de Quintana Roo, podrá realizarla de manera personal, mediante el formato de Solicitud de Derechos ARCOP de la Secretaría, mismo que podrá descargar en la </w:t>
      </w:r>
      <w:r w:rsidR="00B5016C">
        <w:rPr>
          <w:rFonts w:ascii="Montserrat" w:eastAsia="Montserrat" w:hAnsi="Montserrat" w:cs="Montserrat"/>
        </w:rPr>
        <w:t xml:space="preserve">presente liga: </w:t>
      </w:r>
      <w:hyperlink r:id="rId8" w:history="1">
        <w:r w:rsidR="00B5016C" w:rsidRPr="000D5213">
          <w:rPr>
            <w:rStyle w:val="Hipervnculo"/>
            <w:rFonts w:ascii="Montserrat" w:eastAsia="Montserrat" w:hAnsi="Montserrat" w:cs="Montserrat"/>
          </w:rPr>
          <w:t>https://styps.qroo.gob.mx/formatos-de-transparencia/</w:t>
        </w:r>
      </w:hyperlink>
      <w:r w:rsidR="00B5016C">
        <w:rPr>
          <w:rFonts w:ascii="Montserrat" w:eastAsia="Montserrat" w:hAnsi="Montserrat" w:cs="Montserrat"/>
        </w:rPr>
        <w:t xml:space="preserve"> </w:t>
      </w:r>
      <w:bookmarkStart w:id="1" w:name="_GoBack"/>
      <w:bookmarkEnd w:id="1"/>
      <w:r>
        <w:rPr>
          <w:rFonts w:ascii="Montserrat" w:eastAsia="Montserrat" w:hAnsi="Montserrat" w:cs="Montserrat"/>
        </w:rPr>
        <w:t>o a través de la Plataforma Nacional de Transparenci</w:t>
      </w:r>
      <w:r>
        <w:rPr>
          <w:rFonts w:ascii="Montserrat" w:eastAsia="Montserrat" w:hAnsi="Montserrat" w:cs="Montserrat"/>
        </w:rPr>
        <w:t xml:space="preserve">a, mediante la liga: </w:t>
      </w:r>
      <w:hyperlink r:id="rId9">
        <w:r>
          <w:rPr>
            <w:rFonts w:ascii="Montserrat" w:eastAsia="Montserrat" w:hAnsi="Montserrat" w:cs="Montserrat"/>
            <w:color w:val="0563C1"/>
            <w:u w:val="single"/>
          </w:rPr>
          <w:t>https://www.plataformadetransparencia.org.mx/</w:t>
        </w:r>
      </w:hyperlink>
    </w:p>
    <w:p w:rsidR="00B87847" w:rsidRDefault="00B87847">
      <w:pPr>
        <w:spacing w:after="0" w:line="240" w:lineRule="auto"/>
        <w:ind w:right="49"/>
        <w:jc w:val="both"/>
        <w:rPr>
          <w:rFonts w:ascii="Montserrat" w:eastAsia="Montserrat" w:hAnsi="Montserrat" w:cs="Montserrat"/>
        </w:rPr>
      </w:pPr>
    </w:p>
    <w:p w:rsidR="00B87847" w:rsidRDefault="00E51A3C">
      <w:pPr>
        <w:spacing w:after="0" w:line="240" w:lineRule="auto"/>
        <w:ind w:right="49"/>
        <w:jc w:val="both"/>
        <w:rPr>
          <w:rFonts w:ascii="Montserrat" w:eastAsia="Montserrat" w:hAnsi="Montserrat" w:cs="Montserrat"/>
        </w:rPr>
      </w:pPr>
      <w:r>
        <w:rPr>
          <w:rFonts w:ascii="Montserrat" w:eastAsia="Montserrat" w:hAnsi="Montserrat" w:cs="Montserrat"/>
        </w:rPr>
        <w:t>Cabe señalar que contra la negativa de dar trámite a toda solicitud para el ejercicio de los derechos ARCO o por falta de r</w:t>
      </w:r>
      <w:r>
        <w:rPr>
          <w:rFonts w:ascii="Montserrat" w:eastAsia="Montserrat" w:hAnsi="Montserrat" w:cs="Montserrat"/>
        </w:rPr>
        <w:t xml:space="preserve">espuesta del Responsable, procederá la interposición de recurso de revisión a que se refiere el artículo 94 de la Ley General y los artículos 115 al 135 de la Ley Local en la materia. </w:t>
      </w:r>
    </w:p>
    <w:p w:rsidR="00B87847" w:rsidRDefault="00B87847">
      <w:pPr>
        <w:spacing w:after="0" w:line="240" w:lineRule="auto"/>
        <w:ind w:right="49"/>
        <w:jc w:val="both"/>
        <w:rPr>
          <w:rFonts w:ascii="Montserrat" w:eastAsia="Montserrat" w:hAnsi="Montserrat" w:cs="Montserrat"/>
        </w:rPr>
      </w:pPr>
    </w:p>
    <w:p w:rsidR="00B87847" w:rsidRDefault="00E51A3C">
      <w:pPr>
        <w:spacing w:after="0" w:line="240" w:lineRule="auto"/>
        <w:ind w:right="49"/>
        <w:jc w:val="both"/>
        <w:rPr>
          <w:rFonts w:ascii="Montserrat" w:eastAsia="Montserrat" w:hAnsi="Montserrat" w:cs="Montserrat"/>
          <w:color w:val="000000"/>
        </w:rPr>
      </w:pPr>
      <w:r>
        <w:rPr>
          <w:rFonts w:ascii="Montserrat" w:eastAsia="Montserrat" w:hAnsi="Montserrat" w:cs="Montserrat"/>
        </w:rPr>
        <w:t>En caso de que exista un cambio en este Aviso de Privacidad lo haremos</w:t>
      </w:r>
      <w:r>
        <w:rPr>
          <w:rFonts w:ascii="Montserrat" w:eastAsia="Montserrat" w:hAnsi="Montserrat" w:cs="Montserrat"/>
        </w:rPr>
        <w:t xml:space="preserve"> de su conocimiento de manera presencial en esta misma recepción y a través del sitio web de la Secretaría </w:t>
      </w:r>
      <w:hyperlink r:id="rId10">
        <w:r>
          <w:rPr>
            <w:rFonts w:ascii="Montserrat" w:eastAsia="Montserrat" w:hAnsi="Montserrat" w:cs="Montserrat"/>
            <w:color w:val="1155CC"/>
            <w:u w:val="single"/>
          </w:rPr>
          <w:t>https://styps.qroo.gob.mx/aviso-de-privacidad/</w:t>
        </w:r>
      </w:hyperlink>
      <w:r>
        <w:rPr>
          <w:rFonts w:ascii="Montserrat" w:eastAsia="Montserrat" w:hAnsi="Montserrat" w:cs="Montserrat"/>
        </w:rPr>
        <w:t xml:space="preserve"> </w:t>
      </w:r>
      <w:r>
        <w:t xml:space="preserve"> </w:t>
      </w:r>
      <w:r>
        <w:rPr>
          <w:rFonts w:ascii="Montserrat" w:eastAsia="Montserrat" w:hAnsi="Montserrat" w:cs="Montserrat"/>
        </w:rPr>
        <w:t>en la sección “Transparencia”. Para</w:t>
      </w:r>
      <w:r>
        <w:rPr>
          <w:rFonts w:ascii="Montserrat" w:eastAsia="Montserrat" w:hAnsi="Montserrat" w:cs="Montserrat"/>
        </w:rPr>
        <w:t xml:space="preserve"> mayor información, puede comunicarse a los teléfonos: 01 (983) 83- 2-70-72 o bien enviar un correo electrónico a transparenciastyps@qroo.gob.mx donde podrá ser atendido.</w:t>
      </w:r>
    </w:p>
    <w:sectPr w:rsidR="00B87847">
      <w:headerReference w:type="default" r:id="rId11"/>
      <w:footerReference w:type="default" r:id="rId12"/>
      <w:pgSz w:w="12240" w:h="15840"/>
      <w:pgMar w:top="1701" w:right="1701" w:bottom="1418" w:left="1701" w:header="794" w:footer="794"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1A3C" w:rsidRDefault="00E51A3C">
      <w:pPr>
        <w:spacing w:after="0" w:line="240" w:lineRule="auto"/>
      </w:pPr>
      <w:r>
        <w:separator/>
      </w:r>
    </w:p>
  </w:endnote>
  <w:endnote w:type="continuationSeparator" w:id="0">
    <w:p w:rsidR="00E51A3C" w:rsidRDefault="00E51A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6C8C0EF-F6F6-43E5-A647-E6C50F1AA45B}"/>
    <w:embedBold r:id="rId2" w:fontKey="{DD9F617E-26E3-462E-94CD-1656A339932B}"/>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4E54E699-AB46-4B66-BAE2-F1C6D1A2434A}"/>
  </w:font>
  <w:font w:name="Georgia">
    <w:panose1 w:val="02040502050405020303"/>
    <w:charset w:val="00"/>
    <w:family w:val="roman"/>
    <w:pitch w:val="variable"/>
    <w:sig w:usb0="00000287" w:usb1="00000000" w:usb2="00000000" w:usb3="00000000" w:csb0="0000009F" w:csb1="00000000"/>
    <w:embedItalic r:id="rId4" w:fontKey="{CDB73992-5460-4C2F-A047-6BBFEDEF2368}"/>
  </w:font>
  <w:font w:name="Montserrat">
    <w:panose1 w:val="00000000000000000000"/>
    <w:charset w:val="00"/>
    <w:family w:val="auto"/>
    <w:pitch w:val="variable"/>
    <w:sig w:usb0="A00002FF" w:usb1="4000207B" w:usb2="00000000" w:usb3="00000000" w:csb0="00000197" w:csb1="00000000"/>
    <w:embedRegular r:id="rId5" w:fontKey="{1880313D-FF99-4291-B0AB-F8A2B40D4E64}"/>
    <w:embedBold r:id="rId6" w:fontKey="{FA412B4A-C889-4DCD-9B89-28FB7D03DB6B}"/>
  </w:font>
  <w:font w:name="Century Gothic">
    <w:panose1 w:val="020B0502020202020204"/>
    <w:charset w:val="00"/>
    <w:family w:val="swiss"/>
    <w:pitch w:val="variable"/>
    <w:sig w:usb0="00000287" w:usb1="00000000" w:usb2="00000000" w:usb3="00000000" w:csb0="0000009F" w:csb1="00000000"/>
    <w:embedBold r:id="rId7" w:fontKey="{A574B392-6666-4052-87D2-00CF53EE1FEB}"/>
  </w:font>
  <w:font w:name="Calibri Light">
    <w:panose1 w:val="020F0302020204030204"/>
    <w:charset w:val="00"/>
    <w:family w:val="swiss"/>
    <w:pitch w:val="variable"/>
    <w:sig w:usb0="E4002EFF" w:usb1="C200247B" w:usb2="00000009" w:usb3="00000000" w:csb0="000001FF" w:csb1="00000000"/>
    <w:embedRegular r:id="rId8" w:fontKey="{A44F7774-E6FD-4BC6-84A5-10CC0ED806B3}"/>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847" w:rsidRDefault="00E51A3C">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0" distR="0" simplePos="0" relativeHeight="251658240" behindDoc="1" locked="0" layoutInCell="1" hidden="0" allowOverlap="1">
          <wp:simplePos x="0" y="0"/>
          <wp:positionH relativeFrom="column">
            <wp:posOffset>4114800</wp:posOffset>
          </wp:positionH>
          <wp:positionV relativeFrom="paragraph">
            <wp:posOffset>-421002</wp:posOffset>
          </wp:positionV>
          <wp:extent cx="1541509" cy="866775"/>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41509" cy="8667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1A3C" w:rsidRDefault="00E51A3C">
      <w:pPr>
        <w:spacing w:after="0" w:line="240" w:lineRule="auto"/>
      </w:pPr>
      <w:r>
        <w:separator/>
      </w:r>
    </w:p>
  </w:footnote>
  <w:footnote w:type="continuationSeparator" w:id="0">
    <w:p w:rsidR="00E51A3C" w:rsidRDefault="00E51A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7847" w:rsidRDefault="00E51A3C">
    <w:pPr>
      <w:pBdr>
        <w:top w:val="nil"/>
        <w:left w:val="nil"/>
        <w:bottom w:val="nil"/>
        <w:right w:val="nil"/>
        <w:between w:val="nil"/>
      </w:pBdr>
      <w:tabs>
        <w:tab w:val="center" w:pos="4419"/>
        <w:tab w:val="right" w:pos="8838"/>
      </w:tabs>
      <w:spacing w:after="0" w:line="240" w:lineRule="auto"/>
      <w:rPr>
        <w:color w:val="000000"/>
      </w:rPr>
    </w:pPr>
    <w:r>
      <w:rPr>
        <w:noProof/>
        <w:color w:val="000000"/>
      </w:rPr>
      <w:drawing>
        <wp:inline distT="0" distB="0" distL="0" distR="0">
          <wp:extent cx="1798763" cy="467408"/>
          <wp:effectExtent l="0" t="0" r="0" b="0"/>
          <wp:docPr id="7" name="image2.png" descr="Image"/>
          <wp:cNvGraphicFramePr/>
          <a:graphic xmlns:a="http://schemas.openxmlformats.org/drawingml/2006/main">
            <a:graphicData uri="http://schemas.openxmlformats.org/drawingml/2006/picture">
              <pic:pic xmlns:pic="http://schemas.openxmlformats.org/drawingml/2006/picture">
                <pic:nvPicPr>
                  <pic:cNvPr id="0" name="image2.png" descr="Image"/>
                  <pic:cNvPicPr preferRelativeResize="0"/>
                </pic:nvPicPr>
                <pic:blipFill>
                  <a:blip r:embed="rId1"/>
                  <a:srcRect/>
                  <a:stretch>
                    <a:fillRect/>
                  </a:stretch>
                </pic:blipFill>
                <pic:spPr>
                  <a:xfrm>
                    <a:off x="0" y="0"/>
                    <a:ext cx="1798763" cy="46740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B546AB"/>
    <w:multiLevelType w:val="multilevel"/>
    <w:tmpl w:val="A23A0D5E"/>
    <w:lvl w:ilvl="0">
      <w:start w:val="1"/>
      <w:numFmt w:val="bullet"/>
      <w:lvlText w:val="●"/>
      <w:lvlJc w:val="left"/>
      <w:pPr>
        <w:ind w:left="773" w:hanging="773"/>
      </w:pPr>
      <w:rPr>
        <w:rFonts w:ascii="Arial" w:eastAsia="Arial" w:hAnsi="Arial" w:cs="Arial"/>
        <w:b w:val="0"/>
        <w:bCs w:val="0"/>
        <w:i w:val="0"/>
        <w:iCs w:val="0"/>
        <w:strike w:val="0"/>
        <w:color w:val="000000"/>
        <w:sz w:val="22"/>
        <w:szCs w:val="22"/>
        <w:u w:val="none"/>
        <w:shd w:val="clear" w:color="auto" w:fill="auto"/>
        <w:vertAlign w:val="baseline"/>
      </w:rPr>
    </w:lvl>
    <w:lvl w:ilvl="1">
      <w:start w:val="1"/>
      <w:numFmt w:val="bullet"/>
      <w:lvlText w:val="o"/>
      <w:lvlJc w:val="left"/>
      <w:pPr>
        <w:ind w:left="1493" w:hanging="1493"/>
      </w:pPr>
      <w:rPr>
        <w:rFonts w:ascii="Arial" w:eastAsia="Arial" w:hAnsi="Arial" w:cs="Arial"/>
        <w:b w:val="0"/>
        <w:bCs w:val="0"/>
        <w:i w:val="0"/>
        <w:iCs w:val="0"/>
        <w:strike w:val="0"/>
        <w:color w:val="000000"/>
        <w:sz w:val="22"/>
        <w:szCs w:val="22"/>
        <w:u w:val="none"/>
        <w:shd w:val="clear" w:color="auto" w:fill="auto"/>
        <w:vertAlign w:val="baseline"/>
      </w:rPr>
    </w:lvl>
    <w:lvl w:ilvl="2">
      <w:start w:val="1"/>
      <w:numFmt w:val="bullet"/>
      <w:lvlText w:val="▪"/>
      <w:lvlJc w:val="left"/>
      <w:pPr>
        <w:ind w:left="2213" w:hanging="2213"/>
      </w:pPr>
      <w:rPr>
        <w:rFonts w:ascii="Arial" w:eastAsia="Arial" w:hAnsi="Arial" w:cs="Arial"/>
        <w:b w:val="0"/>
        <w:bCs w:val="0"/>
        <w:i w:val="0"/>
        <w:iCs w:val="0"/>
        <w:strike w:val="0"/>
        <w:color w:val="000000"/>
        <w:sz w:val="22"/>
        <w:szCs w:val="22"/>
        <w:u w:val="none"/>
        <w:shd w:val="clear" w:color="auto" w:fill="auto"/>
        <w:vertAlign w:val="baseline"/>
      </w:rPr>
    </w:lvl>
    <w:lvl w:ilvl="3">
      <w:start w:val="1"/>
      <w:numFmt w:val="bullet"/>
      <w:lvlText w:val="•"/>
      <w:lvlJc w:val="left"/>
      <w:pPr>
        <w:ind w:left="2933" w:hanging="2933"/>
      </w:pPr>
      <w:rPr>
        <w:rFonts w:ascii="Arial" w:eastAsia="Arial" w:hAnsi="Arial" w:cs="Arial"/>
        <w:b w:val="0"/>
        <w:bCs w:val="0"/>
        <w:i w:val="0"/>
        <w:iCs w:val="0"/>
        <w:strike w:val="0"/>
        <w:color w:val="000000"/>
        <w:sz w:val="22"/>
        <w:szCs w:val="22"/>
        <w:u w:val="none"/>
        <w:shd w:val="clear" w:color="auto" w:fill="auto"/>
        <w:vertAlign w:val="baseline"/>
      </w:rPr>
    </w:lvl>
    <w:lvl w:ilvl="4">
      <w:start w:val="1"/>
      <w:numFmt w:val="bullet"/>
      <w:lvlText w:val="o"/>
      <w:lvlJc w:val="left"/>
      <w:pPr>
        <w:ind w:left="3653" w:hanging="3653"/>
      </w:pPr>
      <w:rPr>
        <w:rFonts w:ascii="Arial" w:eastAsia="Arial" w:hAnsi="Arial" w:cs="Arial"/>
        <w:b w:val="0"/>
        <w:bCs w:val="0"/>
        <w:i w:val="0"/>
        <w:iCs w:val="0"/>
        <w:strike w:val="0"/>
        <w:color w:val="000000"/>
        <w:sz w:val="22"/>
        <w:szCs w:val="22"/>
        <w:u w:val="none"/>
        <w:shd w:val="clear" w:color="auto" w:fill="auto"/>
        <w:vertAlign w:val="baseline"/>
      </w:rPr>
    </w:lvl>
    <w:lvl w:ilvl="5">
      <w:start w:val="1"/>
      <w:numFmt w:val="bullet"/>
      <w:lvlText w:val="▪"/>
      <w:lvlJc w:val="left"/>
      <w:pPr>
        <w:ind w:left="4373" w:hanging="4373"/>
      </w:pPr>
      <w:rPr>
        <w:rFonts w:ascii="Arial" w:eastAsia="Arial" w:hAnsi="Arial" w:cs="Arial"/>
        <w:b w:val="0"/>
        <w:bCs w:val="0"/>
        <w:i w:val="0"/>
        <w:iCs w:val="0"/>
        <w:strike w:val="0"/>
        <w:color w:val="000000"/>
        <w:sz w:val="22"/>
        <w:szCs w:val="22"/>
        <w:u w:val="none"/>
        <w:shd w:val="clear" w:color="auto" w:fill="auto"/>
        <w:vertAlign w:val="baseline"/>
      </w:rPr>
    </w:lvl>
    <w:lvl w:ilvl="6">
      <w:start w:val="1"/>
      <w:numFmt w:val="bullet"/>
      <w:lvlText w:val="•"/>
      <w:lvlJc w:val="left"/>
      <w:pPr>
        <w:ind w:left="5093" w:hanging="5093"/>
      </w:pPr>
      <w:rPr>
        <w:rFonts w:ascii="Arial" w:eastAsia="Arial" w:hAnsi="Arial" w:cs="Arial"/>
        <w:b w:val="0"/>
        <w:bCs w:val="0"/>
        <w:i w:val="0"/>
        <w:iCs w:val="0"/>
        <w:strike w:val="0"/>
        <w:color w:val="000000"/>
        <w:sz w:val="22"/>
        <w:szCs w:val="22"/>
        <w:u w:val="none"/>
        <w:shd w:val="clear" w:color="auto" w:fill="auto"/>
        <w:vertAlign w:val="baseline"/>
      </w:rPr>
    </w:lvl>
    <w:lvl w:ilvl="7">
      <w:start w:val="1"/>
      <w:numFmt w:val="bullet"/>
      <w:lvlText w:val="o"/>
      <w:lvlJc w:val="left"/>
      <w:pPr>
        <w:ind w:left="5813" w:hanging="5813"/>
      </w:pPr>
      <w:rPr>
        <w:rFonts w:ascii="Arial" w:eastAsia="Arial" w:hAnsi="Arial" w:cs="Arial"/>
        <w:b w:val="0"/>
        <w:bCs w:val="0"/>
        <w:i w:val="0"/>
        <w:iCs w:val="0"/>
        <w:strike w:val="0"/>
        <w:color w:val="000000"/>
        <w:sz w:val="22"/>
        <w:szCs w:val="22"/>
        <w:u w:val="none"/>
        <w:shd w:val="clear" w:color="auto" w:fill="auto"/>
        <w:vertAlign w:val="baseline"/>
      </w:rPr>
    </w:lvl>
    <w:lvl w:ilvl="8">
      <w:start w:val="1"/>
      <w:numFmt w:val="bullet"/>
      <w:lvlText w:val="▪"/>
      <w:lvlJc w:val="left"/>
      <w:pPr>
        <w:ind w:left="6533" w:hanging="6533"/>
      </w:pPr>
      <w:rPr>
        <w:rFonts w:ascii="Arial" w:eastAsia="Arial" w:hAnsi="Arial" w:cs="Arial"/>
        <w:b w:val="0"/>
        <w:bCs w:val="0"/>
        <w:i w:val="0"/>
        <w:iCs w:val="0"/>
        <w:strike w:val="0"/>
        <w:color w:val="000000"/>
        <w:sz w:val="22"/>
        <w:szCs w:val="22"/>
        <w:u w:val="none"/>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847"/>
    <w:rsid w:val="00B5016C"/>
    <w:rsid w:val="00B87847"/>
    <w:rsid w:val="00E51A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2D5CCC-7EFC-4D63-B5B9-06AEA3D8A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Cuadrculamedia21">
    <w:name w:val="Cuadrícula media 21"/>
    <w:uiPriority w:val="1"/>
    <w:qFormat/>
    <w:rsid w:val="00E5676C"/>
    <w:pPr>
      <w:spacing w:after="0" w:line="240" w:lineRule="auto"/>
    </w:pPr>
    <w:rPr>
      <w:rFonts w:cs="Times New Roman"/>
    </w:rPr>
  </w:style>
  <w:style w:type="character" w:styleId="Hipervnculo">
    <w:name w:val="Hyperlink"/>
    <w:basedOn w:val="Fuentedeprrafopredeter"/>
    <w:uiPriority w:val="99"/>
    <w:unhideWhenUsed/>
    <w:rsid w:val="006156AC"/>
    <w:rPr>
      <w:color w:val="0563C1" w:themeColor="hyperlink"/>
      <w:u w:val="single"/>
    </w:rPr>
  </w:style>
  <w:style w:type="character" w:customStyle="1" w:styleId="UnresolvedMention">
    <w:name w:val="Unresolved Mention"/>
    <w:basedOn w:val="Fuentedeprrafopredeter"/>
    <w:uiPriority w:val="99"/>
    <w:semiHidden/>
    <w:unhideWhenUsed/>
    <w:rsid w:val="006156AC"/>
    <w:rPr>
      <w:color w:val="605E5C"/>
      <w:shd w:val="clear" w:color="auto" w:fill="E1DFDD"/>
    </w:rPr>
  </w:style>
  <w:style w:type="paragraph" w:styleId="Encabezado">
    <w:name w:val="header"/>
    <w:basedOn w:val="Normal"/>
    <w:link w:val="EncabezadoCar"/>
    <w:uiPriority w:val="99"/>
    <w:unhideWhenUsed/>
    <w:rsid w:val="00B13BC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3BCC"/>
  </w:style>
  <w:style w:type="paragraph" w:styleId="Piedepgina">
    <w:name w:val="footer"/>
    <w:basedOn w:val="Normal"/>
    <w:link w:val="PiedepginaCar"/>
    <w:uiPriority w:val="99"/>
    <w:unhideWhenUsed/>
    <w:rsid w:val="00B13BC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3BCC"/>
  </w:style>
  <w:style w:type="paragraph" w:styleId="Textodeglobo">
    <w:name w:val="Balloon Text"/>
    <w:basedOn w:val="Normal"/>
    <w:link w:val="TextodegloboCar"/>
    <w:uiPriority w:val="99"/>
    <w:semiHidden/>
    <w:unhideWhenUsed/>
    <w:rsid w:val="00FC0B0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C0B09"/>
    <w:rPr>
      <w:rFonts w:ascii="Tahoma" w:hAnsi="Tahoma" w:cs="Tahoma"/>
      <w:sz w:val="16"/>
      <w:szCs w:val="16"/>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styps.qroo.gob.mx/formatos-de-transparencia/"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styps.qroo.gob.mx/aviso-de-privacidad/" TargetMode="External"/><Relationship Id="rId4" Type="http://schemas.openxmlformats.org/officeDocument/2006/relationships/settings" Target="settings.xml"/><Relationship Id="rId9" Type="http://schemas.openxmlformats.org/officeDocument/2006/relationships/hyperlink" Target="https://www.plataformadetransparencia.org.m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abvV2yNpYvb4297eybVUWARJyg==">CgMxLjAyCGguZ2pkZ3hzOAByITFLZm1RU2hoRFlONjVERXVEN3ljZHpRa2hwOHZkZllVbg==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1041</Words>
  <Characters>5730</Characters>
  <Application>Microsoft Office Word</Application>
  <DocSecurity>0</DocSecurity>
  <Lines>47</Lines>
  <Paragraphs>13</Paragraphs>
  <ScaleCrop>false</ScaleCrop>
  <Company/>
  <LinksUpToDate>false</LinksUpToDate>
  <CharactersWithSpaces>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Santos Solano</dc:creator>
  <cp:lastModifiedBy>Secretaría Trabajo</cp:lastModifiedBy>
  <cp:revision>2</cp:revision>
  <dcterms:created xsi:type="dcterms:W3CDTF">2022-10-17T01:25:00Z</dcterms:created>
  <dcterms:modified xsi:type="dcterms:W3CDTF">2025-11-21T18:31:00Z</dcterms:modified>
</cp:coreProperties>
</file>